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4B77" w14:textId="77777777" w:rsidR="00CD1536" w:rsidRDefault="00000000">
      <w:pPr>
        <w:pStyle w:val="Heading1"/>
      </w:pPr>
      <w:r>
        <w:rPr>
          <w:color w:val="123BB6"/>
        </w:rPr>
        <w:t>Bing</w:t>
      </w:r>
    </w:p>
    <w:p w14:paraId="785C091E" w14:textId="77777777" w:rsidR="00CD1536" w:rsidRDefault="00000000">
      <w:pPr>
        <w:pStyle w:val="ParagraphTextStyle"/>
      </w:pPr>
      <w:r>
        <w:rPr>
          <w:b/>
          <w:bCs/>
        </w:rPr>
        <w:t>Nomi Health</w:t>
      </w:r>
      <w:r>
        <w:t xml:space="preserve">, an Orem-based health care company, has a significant connection with </w:t>
      </w:r>
      <w:r>
        <w:rPr>
          <w:b/>
          <w:bCs/>
        </w:rPr>
        <w:t>Utah Governor Spencer Cox</w:t>
      </w:r>
      <w:r>
        <w:t>. Let's delve into the details:</w:t>
      </w:r>
    </w:p>
    <w:p w14:paraId="7DD6AB85" w14:textId="77777777" w:rsidR="00CD1536" w:rsidRDefault="00000000">
      <w:pPr>
        <w:pStyle w:val="ParagraphTextStyle"/>
        <w:numPr>
          <w:ilvl w:val="0"/>
          <w:numId w:val="2"/>
        </w:numPr>
      </w:pPr>
      <w:r>
        <w:rPr>
          <w:b/>
          <w:bCs/>
        </w:rPr>
        <w:t>Contract for COVID-19 Vaccination Distribution</w:t>
      </w:r>
      <w:r>
        <w:t>:</w:t>
      </w:r>
    </w:p>
    <w:p w14:paraId="2F7F159D" w14:textId="77777777" w:rsidR="00CD1536" w:rsidRDefault="00000000">
      <w:pPr>
        <w:pStyle w:val="ParagraphTextStyle"/>
        <w:numPr>
          <w:ilvl w:val="1"/>
          <w:numId w:val="1"/>
        </w:numPr>
      </w:pPr>
      <w:r>
        <w:t xml:space="preserve">Utah signed a contract with Nomi Health for </w:t>
      </w:r>
      <w:r>
        <w:rPr>
          <w:b/>
          <w:bCs/>
        </w:rPr>
        <w:t>COVID-19 vaccination distribution</w:t>
      </w:r>
      <w:hyperlink r:id="rId7" w:history="1">
        <w:r>
          <w:rPr>
            <w:b/>
            <w:bCs/>
            <w:color w:val="174AE4"/>
            <w:sz w:val="20"/>
            <w:szCs w:val="20"/>
            <w:vertAlign w:val="superscript"/>
          </w:rPr>
          <w:t>1</w:t>
        </w:r>
      </w:hyperlink>
      <w:r>
        <w:t>.</w:t>
      </w:r>
    </w:p>
    <w:p w14:paraId="396CEB19" w14:textId="77777777" w:rsidR="00CD1536" w:rsidRDefault="00000000">
      <w:pPr>
        <w:pStyle w:val="ParagraphTextStyle"/>
        <w:numPr>
          <w:ilvl w:val="1"/>
          <w:numId w:val="1"/>
        </w:numPr>
      </w:pPr>
      <w:r>
        <w:t xml:space="preserve">Nomi Health was previously known for its taxpayer-funded coronavirus testing under the </w:t>
      </w:r>
      <w:r>
        <w:rPr>
          <w:b/>
          <w:bCs/>
        </w:rPr>
        <w:t>"Test Utah"</w:t>
      </w:r>
      <w:r>
        <w:t xml:space="preserve"> program.</w:t>
      </w:r>
    </w:p>
    <w:p w14:paraId="2283E75D" w14:textId="77777777" w:rsidR="00CD1536" w:rsidRDefault="00000000">
      <w:pPr>
        <w:pStyle w:val="ParagraphTextStyle"/>
        <w:numPr>
          <w:ilvl w:val="1"/>
          <w:numId w:val="1"/>
        </w:numPr>
      </w:pPr>
      <w:r>
        <w:t>Despite initial hiccups, the state is confident in Nomi's ability to swiftly and safely vaccinate large numbers of Utahns.</w:t>
      </w:r>
    </w:p>
    <w:p w14:paraId="394FA6FD" w14:textId="77777777" w:rsidR="00CD1536" w:rsidRDefault="00000000">
      <w:pPr>
        <w:pStyle w:val="ParagraphTextStyle"/>
        <w:numPr>
          <w:ilvl w:val="1"/>
          <w:numId w:val="1"/>
        </w:numPr>
      </w:pPr>
      <w:r>
        <w:t>The contract allows local health departments and public entities to use Nomi Health for setting up and running vaccination sites.</w:t>
      </w:r>
    </w:p>
    <w:p w14:paraId="3FC60756" w14:textId="77777777" w:rsidR="00CD1536" w:rsidRDefault="00000000">
      <w:pPr>
        <w:pStyle w:val="ParagraphTextStyle"/>
        <w:numPr>
          <w:ilvl w:val="1"/>
          <w:numId w:val="1"/>
        </w:numPr>
      </w:pPr>
      <w:r>
        <w:t xml:space="preserve">The monthly price ranges from </w:t>
      </w:r>
      <w:r>
        <w:rPr>
          <w:b/>
          <w:bCs/>
        </w:rPr>
        <w:t>$90,000 to $125,000</w:t>
      </w:r>
      <w:r>
        <w:t xml:space="preserve">, depending on capacity, plus an average of </w:t>
      </w:r>
      <w:r>
        <w:rPr>
          <w:b/>
          <w:bCs/>
        </w:rPr>
        <w:t>$22.67 for administering each shot</w:t>
      </w:r>
      <w:hyperlink r:id="rId8" w:history="1">
        <w:r>
          <w:rPr>
            <w:b/>
            <w:bCs/>
            <w:color w:val="174AE4"/>
            <w:sz w:val="20"/>
            <w:szCs w:val="20"/>
            <w:vertAlign w:val="superscript"/>
          </w:rPr>
          <w:t>1</w:t>
        </w:r>
      </w:hyperlink>
      <w:r>
        <w:t>.</w:t>
      </w:r>
    </w:p>
    <w:p w14:paraId="2B143666" w14:textId="77777777" w:rsidR="00CD1536" w:rsidRDefault="00000000">
      <w:pPr>
        <w:pStyle w:val="ParagraphTextStyle"/>
        <w:numPr>
          <w:ilvl w:val="0"/>
          <w:numId w:val="2"/>
        </w:numPr>
      </w:pPr>
      <w:r>
        <w:rPr>
          <w:b/>
          <w:bCs/>
        </w:rPr>
        <w:t>Governor Spencer Cox's Role</w:t>
      </w:r>
      <w:r>
        <w:t>:</w:t>
      </w:r>
    </w:p>
    <w:p w14:paraId="4177BDD2" w14:textId="77777777" w:rsidR="00CD1536" w:rsidRDefault="00000000">
      <w:pPr>
        <w:pStyle w:val="ParagraphTextStyle"/>
        <w:numPr>
          <w:ilvl w:val="1"/>
          <w:numId w:val="1"/>
        </w:numPr>
      </w:pPr>
      <w:r>
        <w:t xml:space="preserve">Governor Cox emphasized the challenge of administering </w:t>
      </w:r>
      <w:r>
        <w:rPr>
          <w:b/>
          <w:bCs/>
        </w:rPr>
        <w:t>150,000 vaccine shots per week</w:t>
      </w:r>
      <w:r>
        <w:t xml:space="preserve"> and highlighted the collective effort required</w:t>
      </w:r>
      <w:hyperlink r:id="rId9" w:history="1">
        <w:r>
          <w:rPr>
            <w:b/>
            <w:bCs/>
            <w:color w:val="174AE4"/>
            <w:sz w:val="20"/>
            <w:szCs w:val="20"/>
            <w:vertAlign w:val="superscript"/>
          </w:rPr>
          <w:t>2</w:t>
        </w:r>
      </w:hyperlink>
      <w:r>
        <w:t>.</w:t>
      </w:r>
    </w:p>
    <w:p w14:paraId="29BA082B" w14:textId="77777777" w:rsidR="00CD1536" w:rsidRDefault="00000000">
      <w:pPr>
        <w:pStyle w:val="ParagraphTextStyle"/>
        <w:numPr>
          <w:ilvl w:val="1"/>
          <w:numId w:val="1"/>
        </w:numPr>
      </w:pPr>
      <w:r>
        <w:t>While the contract aims to augment local health department vaccination programs, Nomi Health is already in discussions with Utah health agencies for immediate support and future assistance as vaccine supply increases</w:t>
      </w:r>
      <w:hyperlink r:id="rId10" w:history="1">
        <w:r>
          <w:rPr>
            <w:b/>
            <w:bCs/>
            <w:color w:val="174AE4"/>
            <w:sz w:val="20"/>
            <w:szCs w:val="20"/>
            <w:vertAlign w:val="superscript"/>
          </w:rPr>
          <w:t>1</w:t>
        </w:r>
      </w:hyperlink>
      <w:r>
        <w:t>.</w:t>
      </w:r>
    </w:p>
    <w:p w14:paraId="60D81C28" w14:textId="77777777" w:rsidR="00CD1536" w:rsidRDefault="00000000">
      <w:pPr>
        <w:pStyle w:val="ParagraphTextStyle"/>
      </w:pPr>
      <w:r>
        <w:t>In summary, Nomi Health's involvement in COVID-19 vaccination distribution aligns closely with Governor Cox's efforts to efficiently vaccinate Utah residents.</w:t>
      </w:r>
    </w:p>
    <w:p w14:paraId="5DBD0FC2" w14:textId="77777777" w:rsidR="00CD1536" w:rsidRDefault="00000000">
      <w:pPr>
        <w:pStyle w:val="ParagraphTextStyle"/>
        <w:pBdr>
          <w:top w:val="single" w:sz="8" w:space="10" w:color="D9D9D9"/>
        </w:pBdr>
      </w:pPr>
      <w:r>
        <w:t>Source(s)</w:t>
      </w:r>
    </w:p>
    <w:p w14:paraId="39126E87" w14:textId="77777777" w:rsidR="00CD1536" w:rsidRDefault="00000000">
      <w:pPr>
        <w:pStyle w:val="CitationStyle"/>
      </w:pPr>
      <w:r>
        <w:t xml:space="preserve">1. </w:t>
      </w:r>
      <w:hyperlink r:id="rId11" w:history="1">
        <w:r>
          <w:rPr>
            <w:rStyle w:val="Hyperlink"/>
          </w:rPr>
          <w:t>Company behind ‘Test Utah’ gets state vaccination contract - Deseret News</w:t>
        </w:r>
      </w:hyperlink>
    </w:p>
    <w:p w14:paraId="1326FDD9" w14:textId="77777777" w:rsidR="00CD1536" w:rsidRDefault="00000000">
      <w:pPr>
        <w:pStyle w:val="CitationStyle"/>
      </w:pPr>
      <w:r>
        <w:t xml:space="preserve">2. </w:t>
      </w:r>
      <w:hyperlink r:id="rId12" w:history="1">
        <w:r>
          <w:rPr>
            <w:rStyle w:val="Hyperlink"/>
          </w:rPr>
          <w:t>Utah partners with Nomi Health to aid in vaccination distribution</w:t>
        </w:r>
      </w:hyperlink>
    </w:p>
    <w:p w14:paraId="59E52846" w14:textId="77777777" w:rsidR="00CD1536" w:rsidRDefault="00000000">
      <w:pPr>
        <w:pStyle w:val="CitationStyle"/>
      </w:pPr>
      <w:r>
        <w:t xml:space="preserve">3. </w:t>
      </w:r>
      <w:hyperlink r:id="rId13" w:history="1">
        <w:r>
          <w:rPr>
            <w:rStyle w:val="Hyperlink"/>
          </w:rPr>
          <w:t>‘Important and disturbing:’ Utah leaders surprised by SEC investigation ...</w:t>
        </w:r>
      </w:hyperlink>
    </w:p>
    <w:p w14:paraId="4746F958" w14:textId="77777777" w:rsidR="00CD1536" w:rsidRDefault="00CD1536">
      <w:pPr>
        <w:pStyle w:val="ParagraphTextStyle"/>
      </w:pPr>
    </w:p>
    <w:sectPr w:rsidR="00CD1536">
      <w:headerReference w:type="default" r:id="rId14"/>
      <w:pgSz w:w="11906" w:h="16838"/>
      <w:pgMar w:top="30" w:right="1440" w:bottom="1440" w:left="1440" w:header="708"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6728" w14:textId="77777777" w:rsidR="006C5950" w:rsidRDefault="006C5950">
      <w:r>
        <w:separator/>
      </w:r>
    </w:p>
  </w:endnote>
  <w:endnote w:type="continuationSeparator" w:id="0">
    <w:p w14:paraId="67598218" w14:textId="77777777" w:rsidR="006C5950" w:rsidRDefault="006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D90B" w14:textId="77777777" w:rsidR="006C5950" w:rsidRDefault="006C5950">
      <w:r>
        <w:separator/>
      </w:r>
    </w:p>
  </w:footnote>
  <w:footnote w:type="continuationSeparator" w:id="0">
    <w:p w14:paraId="5F65EE15" w14:textId="77777777" w:rsidR="006C5950" w:rsidRDefault="006C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393" w14:textId="77777777" w:rsidR="00CD1536" w:rsidRDefault="00000000">
    <w:pPr>
      <w:pStyle w:val="HeaderStyle"/>
      <w:jc w:val="center"/>
    </w:pPr>
    <w:r>
      <w:t>Powered by 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DF4"/>
    <w:multiLevelType w:val="hybridMultilevel"/>
    <w:tmpl w:val="C4FA2074"/>
    <w:lvl w:ilvl="0" w:tplc="5DCCDBEE">
      <w:start w:val="1"/>
      <w:numFmt w:val="bullet"/>
      <w:lvlText w:val="●"/>
      <w:lvlJc w:val="left"/>
      <w:pPr>
        <w:ind w:left="720" w:hanging="360"/>
      </w:pPr>
    </w:lvl>
    <w:lvl w:ilvl="1" w:tplc="F1C80992">
      <w:start w:val="1"/>
      <w:numFmt w:val="bullet"/>
      <w:lvlText w:val="○"/>
      <w:lvlJc w:val="left"/>
      <w:pPr>
        <w:ind w:left="1440" w:hanging="360"/>
      </w:pPr>
    </w:lvl>
    <w:lvl w:ilvl="2" w:tplc="76CCD43E">
      <w:start w:val="1"/>
      <w:numFmt w:val="bullet"/>
      <w:lvlText w:val="■"/>
      <w:lvlJc w:val="left"/>
      <w:pPr>
        <w:ind w:left="2160" w:hanging="360"/>
      </w:pPr>
    </w:lvl>
    <w:lvl w:ilvl="3" w:tplc="F642CDC8">
      <w:start w:val="1"/>
      <w:numFmt w:val="bullet"/>
      <w:lvlText w:val="●"/>
      <w:lvlJc w:val="left"/>
      <w:pPr>
        <w:ind w:left="2880" w:hanging="360"/>
      </w:pPr>
    </w:lvl>
    <w:lvl w:ilvl="4" w:tplc="E7A8B822">
      <w:start w:val="1"/>
      <w:numFmt w:val="bullet"/>
      <w:lvlText w:val="○"/>
      <w:lvlJc w:val="left"/>
      <w:pPr>
        <w:ind w:left="3600" w:hanging="360"/>
      </w:pPr>
    </w:lvl>
    <w:lvl w:ilvl="5" w:tplc="64CA1EA0">
      <w:start w:val="1"/>
      <w:numFmt w:val="bullet"/>
      <w:lvlText w:val="■"/>
      <w:lvlJc w:val="left"/>
      <w:pPr>
        <w:ind w:left="4320" w:hanging="360"/>
      </w:pPr>
    </w:lvl>
    <w:lvl w:ilvl="6" w:tplc="6BD42544">
      <w:start w:val="1"/>
      <w:numFmt w:val="bullet"/>
      <w:lvlText w:val="●"/>
      <w:lvlJc w:val="left"/>
      <w:pPr>
        <w:ind w:left="5040" w:hanging="360"/>
      </w:pPr>
    </w:lvl>
    <w:lvl w:ilvl="7" w:tplc="200AA384">
      <w:start w:val="1"/>
      <w:numFmt w:val="bullet"/>
      <w:lvlText w:val="●"/>
      <w:lvlJc w:val="left"/>
      <w:pPr>
        <w:ind w:left="5760" w:hanging="360"/>
      </w:pPr>
    </w:lvl>
    <w:lvl w:ilvl="8" w:tplc="7338C77A">
      <w:start w:val="1"/>
      <w:numFmt w:val="bullet"/>
      <w:lvlText w:val="●"/>
      <w:lvlJc w:val="left"/>
      <w:pPr>
        <w:ind w:left="6480" w:hanging="360"/>
      </w:pPr>
    </w:lvl>
  </w:abstractNum>
  <w:abstractNum w:abstractNumId="1" w15:restartNumberingAfterBreak="0">
    <w:nsid w:val="3BF85DCC"/>
    <w:multiLevelType w:val="hybridMultilevel"/>
    <w:tmpl w:val="60261BD8"/>
    <w:lvl w:ilvl="0" w:tplc="92FC2FF4">
      <w:start w:val="1"/>
      <w:numFmt w:val="decimal"/>
      <w:lvlText w:val="%1."/>
      <w:lvlJc w:val="left"/>
      <w:pPr>
        <w:ind w:left="720" w:hanging="259"/>
      </w:pPr>
    </w:lvl>
    <w:lvl w:ilvl="1" w:tplc="1728DB56">
      <w:start w:val="1"/>
      <w:numFmt w:val="lowerLetter"/>
      <w:lvlText w:val="%2."/>
      <w:lvlJc w:val="left"/>
      <w:pPr>
        <w:ind w:left="1080" w:hanging="259"/>
      </w:pPr>
    </w:lvl>
    <w:lvl w:ilvl="2" w:tplc="EA5C9010">
      <w:start w:val="1"/>
      <w:numFmt w:val="upperLetter"/>
      <w:lvlText w:val="%3)"/>
      <w:lvlJc w:val="left"/>
      <w:pPr>
        <w:ind w:left="1440" w:hanging="259"/>
      </w:pPr>
    </w:lvl>
    <w:lvl w:ilvl="3" w:tplc="5EB22EDA">
      <w:start w:val="1"/>
      <w:numFmt w:val="upperRoman"/>
      <w:lvlText w:val="%4)"/>
      <w:lvlJc w:val="left"/>
      <w:pPr>
        <w:ind w:left="2880" w:hanging="2420"/>
      </w:pPr>
    </w:lvl>
    <w:lvl w:ilvl="4" w:tplc="F208D6EA">
      <w:numFmt w:val="decimal"/>
      <w:lvlText w:val=""/>
      <w:lvlJc w:val="left"/>
    </w:lvl>
    <w:lvl w:ilvl="5" w:tplc="7344586A">
      <w:numFmt w:val="decimal"/>
      <w:lvlText w:val=""/>
      <w:lvlJc w:val="left"/>
    </w:lvl>
    <w:lvl w:ilvl="6" w:tplc="66949FEE">
      <w:numFmt w:val="decimal"/>
      <w:lvlText w:val=""/>
      <w:lvlJc w:val="left"/>
    </w:lvl>
    <w:lvl w:ilvl="7" w:tplc="E4B44AC4">
      <w:numFmt w:val="decimal"/>
      <w:lvlText w:val=""/>
      <w:lvlJc w:val="left"/>
    </w:lvl>
    <w:lvl w:ilvl="8" w:tplc="A06273B0">
      <w:numFmt w:val="decimal"/>
      <w:lvlText w:val=""/>
      <w:lvlJc w:val="left"/>
    </w:lvl>
  </w:abstractNum>
  <w:num w:numId="1" w16cid:durableId="402413169">
    <w:abstractNumId w:val="0"/>
    <w:lvlOverride w:ilvl="0">
      <w:startOverride w:val="1"/>
    </w:lvlOverride>
  </w:num>
  <w:num w:numId="2" w16cid:durableId="125404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36"/>
    <w:rsid w:val="00605716"/>
    <w:rsid w:val="006C5950"/>
    <w:rsid w:val="00C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C4E40"/>
  <w15:docId w15:val="{BF1295BD-A327-4F2E-9AF5-D0A01764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44" w:after="72" w:line="276" w:lineRule="auto"/>
      <w:outlineLvl w:val="0"/>
    </w:pPr>
    <w:rPr>
      <w:rFonts w:ascii="Segoe UI" w:eastAsia="Segoe UI" w:hAnsi="Segoe UI" w:cs="Segoe UI"/>
      <w:b/>
      <w:bCs/>
      <w:color w:val="005366"/>
      <w:sz w:val="24"/>
      <w:szCs w:val="24"/>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PageContextTitleStyle">
    <w:name w:val="Page Context Title Style"/>
    <w:pPr>
      <w:spacing w:before="144" w:after="72" w:line="276" w:lineRule="auto"/>
    </w:pPr>
    <w:rPr>
      <w:rFonts w:ascii="Segoe UI" w:eastAsia="Segoe UI" w:hAnsi="Segoe UI" w:cs="Segoe UI"/>
      <w:b/>
      <w:bCs/>
      <w:color w:val="ED7D31"/>
      <w:sz w:val="24"/>
      <w:szCs w:val="24"/>
    </w:rPr>
  </w:style>
  <w:style w:type="paragraph" w:customStyle="1" w:styleId="LinkStyle">
    <w:name w:val="Link Style"/>
    <w:pPr>
      <w:spacing w:before="144" w:after="72" w:line="276" w:lineRule="auto"/>
    </w:pPr>
    <w:rPr>
      <w:rFonts w:ascii="Segoe UI" w:eastAsia="Segoe UI" w:hAnsi="Segoe UI" w:cs="Segoe UI"/>
      <w:b/>
      <w:bCs/>
      <w:color w:val="2E74B5"/>
      <w:sz w:val="24"/>
      <w:szCs w:val="24"/>
      <w:u w:val="single" w:color="2E74B5"/>
    </w:rPr>
  </w:style>
  <w:style w:type="paragraph" w:customStyle="1" w:styleId="ParagraphTextStyle">
    <w:name w:val="Paragraph Text Style"/>
    <w:pPr>
      <w:spacing w:before="144" w:after="72" w:line="276" w:lineRule="auto"/>
    </w:pPr>
    <w:rPr>
      <w:rFonts w:ascii="Segoe UI" w:eastAsia="Segoe UI" w:hAnsi="Segoe UI" w:cs="Segoe UI"/>
      <w:color w:val="000000"/>
      <w:sz w:val="26"/>
      <w:szCs w:val="26"/>
    </w:rPr>
  </w:style>
  <w:style w:type="paragraph" w:customStyle="1" w:styleId="CitationStyle">
    <w:name w:val="Citation Style"/>
    <w:rPr>
      <w:rFonts w:ascii="Segoe UI" w:eastAsia="Segoe UI" w:hAnsi="Segoe UI" w:cs="Segoe UI"/>
      <w:color w:val="000000"/>
    </w:rPr>
  </w:style>
  <w:style w:type="paragraph" w:customStyle="1" w:styleId="HeaderStyle">
    <w:name w:val="Header Style"/>
    <w:rPr>
      <w:rFonts w:ascii="Segoe UI" w:eastAsia="Segoe UI" w:hAnsi="Segoe UI" w:cs="Segoe UI"/>
      <w:color w:val="767676"/>
      <w:sz w:val="24"/>
      <w:szCs w:val="24"/>
    </w:rPr>
  </w:style>
  <w:style w:type="paragraph" w:customStyle="1" w:styleId="CodeStyle">
    <w:name w:val="Code Style"/>
    <w:rPr>
      <w:rFonts w:ascii="Consolas" w:eastAsia="Consolas" w:hAnsi="Consolas" w:cs="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seret.com/utah/2021/2/2/22260459/company-behind-test-utah-gets-state-vaccination-contract-nomi-health" TargetMode="External"/><Relationship Id="rId13" Type="http://schemas.openxmlformats.org/officeDocument/2006/relationships/hyperlink" Target="https://www.sltrib.com/news/2021/06/17/sec-investigators-made/" TargetMode="External"/><Relationship Id="rId3" Type="http://schemas.openxmlformats.org/officeDocument/2006/relationships/settings" Target="settings.xml"/><Relationship Id="rId7" Type="http://schemas.openxmlformats.org/officeDocument/2006/relationships/hyperlink" Target="https://www.deseret.com/utah/2021/2/2/22260459/company-behind-test-utah-gets-state-vaccination-contract-nomi-health" TargetMode="External"/><Relationship Id="rId12" Type="http://schemas.openxmlformats.org/officeDocument/2006/relationships/hyperlink" Target="https://www.uvureview.com/news/utah-partners-with-nomi-health-to-aid-in-vaccination-distrib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eret.com/utah/2021/2/2/22260459/company-behind-test-utah-gets-state-vaccination-contract-nomi-heal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eseret.com/utah/2021/2/2/22260459/company-behind-test-utah-gets-state-vaccination-contract-nomi-health" TargetMode="External"/><Relationship Id="rId4" Type="http://schemas.openxmlformats.org/officeDocument/2006/relationships/webSettings" Target="webSettings.xml"/><Relationship Id="rId9" Type="http://schemas.openxmlformats.org/officeDocument/2006/relationships/hyperlink" Target="https://www.uvureview.com/news/utah-partners-with-nomi-health-to-aid-in-vaccination-distribu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Wayne Wickizer</cp:lastModifiedBy>
  <cp:revision>2</cp:revision>
  <dcterms:created xsi:type="dcterms:W3CDTF">2024-02-28T13:58:00Z</dcterms:created>
  <dcterms:modified xsi:type="dcterms:W3CDTF">2024-02-28T13:58:00Z</dcterms:modified>
</cp:coreProperties>
</file>